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2190" w14:textId="73CD4914" w:rsidR="00380F85" w:rsidRPr="0070710E" w:rsidRDefault="0070710E" w:rsidP="0070710E">
      <w:pPr>
        <w:spacing w:after="0" w:line="240" w:lineRule="auto"/>
        <w:ind w:left="0" w:right="3" w:firstLine="0"/>
        <w:jc w:val="center"/>
        <w:rPr>
          <w:sz w:val="28"/>
          <w:szCs w:val="28"/>
        </w:rPr>
      </w:pPr>
      <w:r w:rsidRPr="0070710E">
        <w:rPr>
          <w:b/>
          <w:sz w:val="28"/>
          <w:szCs w:val="28"/>
        </w:rPr>
        <w:t>N E U E N T W U R F</w:t>
      </w:r>
    </w:p>
    <w:p w14:paraId="33DA7BDD" w14:textId="77777777" w:rsidR="00380F85" w:rsidRDefault="00380F85" w:rsidP="00D7273E">
      <w:pPr>
        <w:spacing w:after="0" w:line="240" w:lineRule="auto"/>
        <w:ind w:left="0" w:right="0" w:firstLine="0"/>
        <w:jc w:val="left"/>
      </w:pPr>
    </w:p>
    <w:p w14:paraId="5FCE8C00" w14:textId="151389EF" w:rsidR="00380F85" w:rsidRDefault="00F269CF" w:rsidP="00D7273E">
      <w:pPr>
        <w:spacing w:after="0" w:line="240" w:lineRule="auto"/>
        <w:ind w:right="7"/>
        <w:jc w:val="center"/>
      </w:pPr>
      <w:r>
        <w:rPr>
          <w:b/>
          <w:sz w:val="32"/>
        </w:rPr>
        <w:t xml:space="preserve">Studien- und Prüfungsordnung </w:t>
      </w:r>
      <w:r w:rsidR="00472894">
        <w:rPr>
          <w:b/>
          <w:sz w:val="32"/>
        </w:rPr>
        <w:t>der</w:t>
      </w:r>
      <w:r>
        <w:rPr>
          <w:b/>
          <w:sz w:val="32"/>
        </w:rPr>
        <w:t xml:space="preserve"> Zusatzstudien</w:t>
      </w:r>
    </w:p>
    <w:p w14:paraId="11DDB71E" w14:textId="77777777" w:rsidR="00D7273E" w:rsidRDefault="00F269CF" w:rsidP="00F269CF">
      <w:pPr>
        <w:spacing w:after="0" w:line="240" w:lineRule="auto"/>
        <w:ind w:left="812" w:right="0"/>
        <w:jc w:val="center"/>
        <w:rPr>
          <w:b/>
          <w:sz w:val="32"/>
        </w:rPr>
      </w:pPr>
      <w:r>
        <w:rPr>
          <w:b/>
          <w:sz w:val="32"/>
        </w:rPr>
        <w:t>„Geowissenschaften im Lehramt“</w:t>
      </w:r>
      <w:r>
        <w:rPr>
          <w:b/>
          <w:sz w:val="32"/>
        </w:rPr>
        <w:br/>
        <w:t>an der Naturwissenschaftlichen Fakultät der FAU</w:t>
      </w:r>
    </w:p>
    <w:p w14:paraId="01C6A895" w14:textId="0521956A" w:rsidR="00380F85" w:rsidRDefault="00F269CF" w:rsidP="00D7273E">
      <w:pPr>
        <w:spacing w:after="0" w:line="240" w:lineRule="auto"/>
        <w:ind w:left="812" w:right="809"/>
        <w:jc w:val="center"/>
      </w:pPr>
      <w:r>
        <w:rPr>
          <w:b/>
          <w:sz w:val="32"/>
        </w:rPr>
        <w:t>(PO ZS Geo</w:t>
      </w:r>
      <w:r w:rsidR="00472894">
        <w:rPr>
          <w:b/>
          <w:sz w:val="32"/>
        </w:rPr>
        <w:t>w im</w:t>
      </w:r>
      <w:r>
        <w:rPr>
          <w:b/>
          <w:sz w:val="32"/>
        </w:rPr>
        <w:t xml:space="preserve"> LA)</w:t>
      </w:r>
    </w:p>
    <w:p w14:paraId="3D3E15D3" w14:textId="2CAF7E8E" w:rsidR="00380F85" w:rsidRPr="00D7273E" w:rsidRDefault="00F269CF" w:rsidP="00D7273E">
      <w:pPr>
        <w:spacing w:after="0" w:line="240" w:lineRule="auto"/>
        <w:jc w:val="center"/>
        <w:rPr>
          <w:b/>
        </w:rPr>
      </w:pPr>
      <w:r w:rsidRPr="00D7273E">
        <w:rPr>
          <w:b/>
        </w:rPr>
        <w:t xml:space="preserve">Vom </w:t>
      </w:r>
      <w:r w:rsidR="0070710E">
        <w:rPr>
          <w:b/>
        </w:rPr>
        <w:t>…</w:t>
      </w:r>
    </w:p>
    <w:p w14:paraId="11D81440" w14:textId="77777777" w:rsidR="00380F85" w:rsidRDefault="00380F85" w:rsidP="00D7273E">
      <w:pPr>
        <w:spacing w:after="0" w:line="240" w:lineRule="auto"/>
        <w:ind w:left="61" w:right="0" w:firstLine="0"/>
        <w:jc w:val="center"/>
      </w:pPr>
    </w:p>
    <w:p w14:paraId="298DA881" w14:textId="77777777" w:rsidR="00380F85" w:rsidRDefault="00380F85" w:rsidP="00D7273E">
      <w:pPr>
        <w:spacing w:after="0" w:line="240" w:lineRule="auto"/>
        <w:ind w:left="61" w:right="0" w:firstLine="0"/>
        <w:jc w:val="center"/>
      </w:pPr>
    </w:p>
    <w:p w14:paraId="3A861AC1" w14:textId="77777777" w:rsidR="00991557" w:rsidRDefault="00991557" w:rsidP="00D7273E">
      <w:pPr>
        <w:spacing w:after="0" w:line="240" w:lineRule="auto"/>
        <w:ind w:left="61" w:right="0" w:firstLine="0"/>
        <w:jc w:val="center"/>
      </w:pPr>
    </w:p>
    <w:p w14:paraId="45BD394D" w14:textId="77777777" w:rsidR="00380F85" w:rsidRDefault="00F269CF" w:rsidP="00D7273E">
      <w:pPr>
        <w:spacing w:after="0" w:line="240" w:lineRule="auto"/>
        <w:ind w:left="-5" w:right="0"/>
      </w:pPr>
      <w:r>
        <w:t>Auf Grund von Art. 13 Abs. 1 Satz 2 in Verbindung mit Art. 56 Abs. 6 Nr. 2, Art. 58</w:t>
      </w:r>
      <w:r w:rsidR="00D7273E">
        <w:t xml:space="preserve"> </w:t>
      </w:r>
      <w:r w:rsidR="00991557">
        <w:br/>
      </w:r>
      <w:r>
        <w:t xml:space="preserve">Abs. 1 und Art. 61 Abs. 2 Satz 1 Bayerisches Hochschulgesetz (BayHSchG) erlässt die FAU folgende </w:t>
      </w:r>
      <w:r w:rsidR="008906DD">
        <w:t xml:space="preserve">Studien- und </w:t>
      </w:r>
      <w:r>
        <w:t xml:space="preserve">Prüfungsordnung: </w:t>
      </w:r>
    </w:p>
    <w:p w14:paraId="074C1AFD" w14:textId="77777777" w:rsidR="00380F85" w:rsidRDefault="00380F85" w:rsidP="00D7273E">
      <w:pPr>
        <w:spacing w:after="0" w:line="240" w:lineRule="auto"/>
        <w:ind w:left="0" w:right="0" w:firstLine="0"/>
        <w:jc w:val="left"/>
      </w:pPr>
    </w:p>
    <w:p w14:paraId="0DB4117D" w14:textId="77777777" w:rsidR="00BB5A73" w:rsidRDefault="00BB5A73" w:rsidP="00D7273E">
      <w:pPr>
        <w:spacing w:after="0" w:line="240" w:lineRule="auto"/>
        <w:ind w:left="0" w:right="0" w:firstLine="0"/>
        <w:jc w:val="left"/>
      </w:pPr>
    </w:p>
    <w:sdt>
      <w:sdtPr>
        <w:rPr>
          <w:rFonts w:ascii="Arial" w:eastAsia="Arial" w:hAnsi="Arial" w:cs="Arial"/>
          <w:color w:val="000009"/>
          <w:sz w:val="24"/>
          <w:szCs w:val="22"/>
        </w:rPr>
        <w:id w:val="-13848659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0F9704" w14:textId="77777777" w:rsidR="00D7273E" w:rsidRPr="00D7273E" w:rsidRDefault="00D7273E" w:rsidP="00D7273E">
          <w:pPr>
            <w:pStyle w:val="Inhaltsverzeichnisberschrift"/>
            <w:spacing w:before="0" w:line="240" w:lineRule="auto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D7273E">
            <w:rPr>
              <w:rFonts w:ascii="Arial" w:hAnsi="Arial" w:cs="Arial"/>
              <w:b/>
              <w:color w:val="auto"/>
              <w:sz w:val="24"/>
              <w:szCs w:val="24"/>
            </w:rPr>
            <w:t>Inhalt</w:t>
          </w:r>
        </w:p>
        <w:p w14:paraId="01214D8C" w14:textId="77777777" w:rsidR="00D7273E" w:rsidRDefault="00D7273E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252043" w:history="1">
            <w:r w:rsidRPr="00624730">
              <w:rPr>
                <w:rStyle w:val="Hyperlink"/>
                <w:noProof/>
              </w:rPr>
              <w:t>§ 1 Geltungsbereich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_Toc35252043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8A635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44" w:history="1">
            <w:r w:rsidR="00D7273E" w:rsidRPr="00624730">
              <w:rPr>
                <w:rStyle w:val="Hyperlink"/>
                <w:noProof/>
              </w:rPr>
              <w:t>§ 2 Ziele; Inhalt; Struktur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_Toc35252044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1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61FD41DA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45" w:history="1">
            <w:r w:rsidR="00D7273E" w:rsidRPr="00624730">
              <w:rPr>
                <w:rStyle w:val="Hyperlink"/>
                <w:noProof/>
              </w:rPr>
              <w:t>§ 3 Studienbeginn; Regelstudienzeit, Umfang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_Toc35252045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2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4BD444A7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46" w:history="1">
            <w:r w:rsidR="00D7273E" w:rsidRPr="00624730">
              <w:rPr>
                <w:rStyle w:val="Hyperlink"/>
                <w:noProof/>
              </w:rPr>
              <w:t>§ 4 Qualifikationsvoraussetzungen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_Toc35252046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2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295A8932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47" w:history="1">
            <w:r w:rsidR="00D7273E" w:rsidRPr="00624730">
              <w:rPr>
                <w:rStyle w:val="Hyperlink"/>
                <w:noProof/>
              </w:rPr>
              <w:t>§ 5 Prüfungsausschuss; Verfahrensrecht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_Toc35252047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2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114E046E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48" w:history="1">
            <w:r w:rsidR="00D7273E" w:rsidRPr="00624730">
              <w:rPr>
                <w:rStyle w:val="Hyperlink"/>
                <w:noProof/>
              </w:rPr>
              <w:t>§ 6 Zulassung zu den Prüfungen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_Toc35252048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2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790CAB73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49" w:history="1">
            <w:r w:rsidR="00D7273E" w:rsidRPr="00624730">
              <w:rPr>
                <w:rStyle w:val="Hyperlink"/>
                <w:noProof/>
              </w:rPr>
              <w:t>§ 7 Prüfungen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_Toc35252049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3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761A6385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50" w:history="1">
            <w:r w:rsidR="00D7273E" w:rsidRPr="00624730">
              <w:rPr>
                <w:rStyle w:val="Hyperlink"/>
                <w:noProof/>
              </w:rPr>
              <w:t>§ 8 Transcript of Records; Zertifikat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_Toc35252050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3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6D68D22F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51" w:history="1">
            <w:r w:rsidR="00D7273E" w:rsidRPr="00624730">
              <w:rPr>
                <w:rStyle w:val="Hyperlink"/>
                <w:noProof/>
              </w:rPr>
              <w:t>§ 9 Inkrafttreten; Experimentierklausel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_Toc35252051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3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6954526D" w14:textId="77777777" w:rsidR="00D7273E" w:rsidRDefault="002F1826" w:rsidP="00D7273E">
          <w:pPr>
            <w:pStyle w:val="Verzeichnis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5252052" w:history="1">
            <w:r w:rsidR="00D7273E" w:rsidRPr="00624730">
              <w:rPr>
                <w:rStyle w:val="Hyperlink"/>
                <w:noProof/>
              </w:rPr>
              <w:t>Anlage Studienverlaufsplan „Zusatzstudien Geowissenschaften im Lehramt“</w:t>
            </w:r>
            <w:r w:rsidR="00D7273E">
              <w:rPr>
                <w:noProof/>
                <w:webHidden/>
              </w:rPr>
              <w:tab/>
            </w:r>
            <w:r w:rsidR="00D7273E">
              <w:rPr>
                <w:noProof/>
                <w:webHidden/>
              </w:rPr>
              <w:fldChar w:fldCharType="begin"/>
            </w:r>
            <w:r w:rsidR="00D7273E">
              <w:rPr>
                <w:noProof/>
                <w:webHidden/>
              </w:rPr>
              <w:instrText xml:space="preserve"> PAGEREF _Toc35252052 \h </w:instrText>
            </w:r>
            <w:r w:rsidR="00D7273E">
              <w:rPr>
                <w:noProof/>
                <w:webHidden/>
              </w:rPr>
            </w:r>
            <w:r w:rsidR="00D7273E">
              <w:rPr>
                <w:noProof/>
                <w:webHidden/>
              </w:rPr>
              <w:fldChar w:fldCharType="separate"/>
            </w:r>
            <w:r w:rsidR="00D7273E">
              <w:rPr>
                <w:noProof/>
                <w:webHidden/>
              </w:rPr>
              <w:t>4</w:t>
            </w:r>
            <w:r w:rsidR="00D7273E">
              <w:rPr>
                <w:noProof/>
                <w:webHidden/>
              </w:rPr>
              <w:fldChar w:fldCharType="end"/>
            </w:r>
          </w:hyperlink>
        </w:p>
        <w:p w14:paraId="62EB1B74" w14:textId="77777777" w:rsidR="00D7273E" w:rsidRDefault="00D7273E" w:rsidP="00D7273E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14:paraId="708914A5" w14:textId="77777777" w:rsidR="00D7273E" w:rsidRDefault="00D7273E" w:rsidP="00D7273E">
      <w:pPr>
        <w:spacing w:after="0" w:line="240" w:lineRule="auto"/>
        <w:ind w:left="0" w:right="0" w:firstLine="0"/>
        <w:jc w:val="left"/>
      </w:pPr>
    </w:p>
    <w:p w14:paraId="55E9E02C" w14:textId="77777777" w:rsidR="00991557" w:rsidRDefault="00991557" w:rsidP="00D7273E">
      <w:pPr>
        <w:spacing w:after="0" w:line="240" w:lineRule="auto"/>
        <w:ind w:left="0" w:right="0" w:firstLine="0"/>
        <w:jc w:val="left"/>
      </w:pPr>
    </w:p>
    <w:p w14:paraId="0849D6EC" w14:textId="77777777" w:rsidR="00380F85" w:rsidRPr="00D7273E" w:rsidRDefault="00F269CF" w:rsidP="00D7273E">
      <w:pPr>
        <w:pStyle w:val="berschrift1"/>
        <w:spacing w:after="0" w:line="240" w:lineRule="auto"/>
      </w:pPr>
      <w:bookmarkStart w:id="0" w:name="_Toc35251872"/>
      <w:bookmarkStart w:id="1" w:name="_Toc35252043"/>
      <w:r w:rsidRPr="00D7273E">
        <w:t>§ 1 Geltungsbereich</w:t>
      </w:r>
      <w:bookmarkEnd w:id="0"/>
      <w:bookmarkEnd w:id="1"/>
      <w:r w:rsidRPr="00D7273E">
        <w:t xml:space="preserve"> </w:t>
      </w:r>
    </w:p>
    <w:p w14:paraId="13C6D488" w14:textId="267B383E" w:rsidR="00380F85" w:rsidRDefault="00F269CF" w:rsidP="00D7273E">
      <w:pPr>
        <w:spacing w:after="0" w:line="240" w:lineRule="auto"/>
        <w:ind w:left="-5" w:right="146"/>
      </w:pPr>
      <w:r w:rsidRPr="00D7273E">
        <w:rPr>
          <w:szCs w:val="24"/>
          <w:vertAlign w:val="superscript"/>
        </w:rPr>
        <w:t>1</w:t>
      </w:r>
      <w:r>
        <w:t>Diese Studien- und Prüfungsordnung regelt die Ziele</w:t>
      </w:r>
      <w:r w:rsidR="002B4596">
        <w:t>,</w:t>
      </w:r>
      <w:r>
        <w:t xml:space="preserve"> Inhalte</w:t>
      </w:r>
      <w:r w:rsidR="002B4596">
        <w:t xml:space="preserve"> und Prüfungen</w:t>
      </w:r>
      <w:r>
        <w:t xml:space="preserve"> der Zusatzstudien Geowissenschaften im Lehramt an der FAU gemäß Art. 56 Abs. 6 Nr. 2 </w:t>
      </w:r>
      <w:r w:rsidRPr="0070710E">
        <w:rPr>
          <w:b/>
        </w:rPr>
        <w:t>BayHSchG</w:t>
      </w:r>
      <w:r>
        <w:t xml:space="preserve"> sowie die Ablegung der dazugehörigen Prüfungen.</w:t>
      </w:r>
    </w:p>
    <w:p w14:paraId="4DD4331B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60B97A82" w14:textId="77777777" w:rsidR="00380F85" w:rsidRPr="00D7273E" w:rsidRDefault="00F269CF" w:rsidP="00D7273E">
      <w:pPr>
        <w:pStyle w:val="berschrift1"/>
        <w:spacing w:after="0" w:line="240" w:lineRule="auto"/>
      </w:pPr>
      <w:bookmarkStart w:id="2" w:name="_Toc35251873"/>
      <w:bookmarkStart w:id="3" w:name="_Toc35252044"/>
      <w:r w:rsidRPr="00D7273E">
        <w:t>§ 2 Ziele; Inhalt; Struktur</w:t>
      </w:r>
      <w:bookmarkEnd w:id="2"/>
      <w:bookmarkEnd w:id="3"/>
      <w:r w:rsidRPr="00D7273E">
        <w:t xml:space="preserve"> </w:t>
      </w:r>
    </w:p>
    <w:p w14:paraId="469DB60D" w14:textId="5387E64E" w:rsidR="00380F85" w:rsidRDefault="00D7273E" w:rsidP="00D7273E">
      <w:pPr>
        <w:tabs>
          <w:tab w:val="left" w:pos="8931"/>
        </w:tabs>
        <w:spacing w:after="0" w:line="240" w:lineRule="auto"/>
        <w:ind w:right="146" w:firstLine="0"/>
      </w:pPr>
      <w:r w:rsidRPr="00D7273E">
        <w:t>(1)</w:t>
      </w:r>
      <w:r>
        <w:rPr>
          <w:vertAlign w:val="superscript"/>
        </w:rPr>
        <w:t xml:space="preserve"> </w:t>
      </w:r>
      <w:r w:rsidR="00F269CF">
        <w:rPr>
          <w:vertAlign w:val="superscript"/>
        </w:rPr>
        <w:t>1</w:t>
      </w:r>
      <w:r w:rsidR="00F269CF">
        <w:t>Die Zusatzstudien Geowissenschaften im Lehramt richten sich an Studierende</w:t>
      </w:r>
      <w:r>
        <w:t xml:space="preserve"> </w:t>
      </w:r>
      <w:r w:rsidR="00F269CF">
        <w:t xml:space="preserve">des Lehramts an Gymnasien oder Realschulen mit den Fächern Geographie, Chemie, Mathematik, Biologie oder Physik sowie des Lehramts an Mittelschulen oder Grundschulen. </w:t>
      </w:r>
      <w:r w:rsidR="00F269CF">
        <w:rPr>
          <w:vertAlign w:val="superscript"/>
        </w:rPr>
        <w:t>2</w:t>
      </w:r>
      <w:r w:rsidR="00F269CF">
        <w:t xml:space="preserve">Sie </w:t>
      </w:r>
      <w:r w:rsidR="002F1826">
        <w:t>dienen</w:t>
      </w:r>
      <w:r w:rsidR="00F269CF">
        <w:t xml:space="preserve"> in diesem Rahmen dem Erwerb zusätzlicher Qualifikationen. </w:t>
      </w:r>
      <w:r w:rsidR="00F269CF">
        <w:rPr>
          <w:vertAlign w:val="superscript"/>
        </w:rPr>
        <w:t>3</w:t>
      </w:r>
      <w:r w:rsidR="00F269CF">
        <w:t xml:space="preserve">Zusätzlich qualifizieren die Zusatzstudien für geowissenschaftliche Tätigkeiten auch außerhalb des Lehramtsbereichs. </w:t>
      </w:r>
    </w:p>
    <w:p w14:paraId="2B5DEEFC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4DA6005B" w14:textId="77777777" w:rsidR="00380F85" w:rsidRDefault="00D7273E" w:rsidP="00BB5A73">
      <w:pPr>
        <w:spacing w:after="0" w:line="240" w:lineRule="auto"/>
        <w:ind w:right="141" w:firstLine="0"/>
      </w:pPr>
      <w:r>
        <w:t xml:space="preserve">(2) </w:t>
      </w:r>
      <w:r w:rsidR="00F269CF">
        <w:rPr>
          <w:vertAlign w:val="superscript"/>
        </w:rPr>
        <w:t>1</w:t>
      </w:r>
      <w:r w:rsidR="00F269CF">
        <w:t>Inhalt der Zusatzstudien Geowissenschaften im Lehramt sind die geowissenschaftlichen Lehrplaninhalte der Gymnasien und Realschulen mit Schwerpunkt auf der Lehrplanalternative Geologie unter Berücksichtigung der aktuellen geowissenschaftlichen Herausforderungen,</w:t>
      </w:r>
      <w:r w:rsidR="00BB5A73">
        <w:rPr>
          <w:rFonts w:eastAsia="Times New Roman"/>
          <w:szCs w:val="24"/>
        </w:rPr>
        <w:t xml:space="preserve"> </w:t>
      </w:r>
      <w:r w:rsidR="00BB5A73">
        <w:t>z.</w:t>
      </w:r>
      <w:r w:rsidR="00991557">
        <w:t>B.</w:t>
      </w:r>
      <w:r w:rsidR="00BB5A73">
        <w:t xml:space="preserve"> </w:t>
      </w:r>
      <w:r w:rsidR="00991557">
        <w:t xml:space="preserve">Ressourcen, Klimawandel, </w:t>
      </w:r>
      <w:r w:rsidR="00F269CF">
        <w:t xml:space="preserve">Naturkatastrophen, Grundwasser, Energie. </w:t>
      </w:r>
      <w:r w:rsidR="00F269CF">
        <w:rPr>
          <w:vertAlign w:val="superscript"/>
        </w:rPr>
        <w:t>2</w:t>
      </w:r>
      <w:r w:rsidR="00F269CF">
        <w:t xml:space="preserve">Mit diesem Studienangebot werden die zukünftigen Lehrerinnen und Lehrer sowohl fachlich als auch didaktisch fundiert auf die geowissenschaftlichen Inhalte der bundesweiten Lehrpläne sowie die Lehrplanalternative Geologie der bayerischen Gymnasien vorbereitet. </w:t>
      </w:r>
      <w:r w:rsidR="00F269CF">
        <w:rPr>
          <w:vertAlign w:val="superscript"/>
        </w:rPr>
        <w:t>3</w:t>
      </w:r>
      <w:r w:rsidR="00F269CF">
        <w:t xml:space="preserve">Dabei liegt der Fokus auf der Verknüpfung von Theorie und Praxis für den Schulalltag. </w:t>
      </w:r>
    </w:p>
    <w:p w14:paraId="74686F7C" w14:textId="77777777" w:rsidR="00380F85" w:rsidRDefault="00380F85" w:rsidP="00BB5A73">
      <w:pPr>
        <w:spacing w:after="0" w:line="240" w:lineRule="auto"/>
        <w:ind w:left="0" w:right="146" w:firstLine="0"/>
        <w:jc w:val="left"/>
      </w:pPr>
    </w:p>
    <w:p w14:paraId="6589CC60" w14:textId="630E663C" w:rsidR="00380F85" w:rsidRDefault="00D7273E" w:rsidP="00BB5A73">
      <w:pPr>
        <w:spacing w:after="0" w:line="240" w:lineRule="auto"/>
        <w:ind w:left="0" w:right="146" w:firstLine="0"/>
      </w:pPr>
      <w:r w:rsidRPr="00D7273E">
        <w:t>(3)</w:t>
      </w:r>
      <w:r>
        <w:rPr>
          <w:vertAlign w:val="superscript"/>
        </w:rPr>
        <w:t xml:space="preserve"> </w:t>
      </w:r>
      <w:r w:rsidR="00F269CF">
        <w:rPr>
          <w:vertAlign w:val="superscript"/>
        </w:rPr>
        <w:t>1</w:t>
      </w:r>
      <w:r w:rsidR="00F269CF">
        <w:t>Die Zusatzstudien sind so strukturiert, dass die Studierenden im ersten Semester grundlegende fachwissenschaftliche Kompetenzen in den Modulen „Das System Er</w:t>
      </w:r>
      <w:r w:rsidR="00BB5A73">
        <w:t>-</w:t>
      </w:r>
      <w:r w:rsidR="00F269CF">
        <w:t xml:space="preserve">de“ und „Der Mensch im geowissenschaftlichen Umfeld“ erwerben. </w:t>
      </w:r>
      <w:r w:rsidR="00F269CF">
        <w:rPr>
          <w:vertAlign w:val="superscript"/>
        </w:rPr>
        <w:t>2</w:t>
      </w:r>
      <w:r w:rsidR="00F269CF">
        <w:t xml:space="preserve">Im zweiten Semester erwerben </w:t>
      </w:r>
      <w:r w:rsidR="008906DD" w:rsidRPr="008906DD">
        <w:t>die Studierenden in den Seminaren „Rohstoffe und Nachhaltigkeit“ und „Kompetenzseminar zum Klimawandel“ weitergehende System-, Fach- und Konzept-Kompetenzen</w:t>
      </w:r>
      <w:r>
        <w:t>.</w:t>
      </w:r>
    </w:p>
    <w:p w14:paraId="7272611A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290427AB" w14:textId="77777777" w:rsidR="00380F85" w:rsidRPr="00D7273E" w:rsidRDefault="00F269CF" w:rsidP="00D7273E">
      <w:pPr>
        <w:pStyle w:val="berschrift1"/>
        <w:spacing w:after="0" w:line="240" w:lineRule="auto"/>
      </w:pPr>
      <w:bookmarkStart w:id="4" w:name="_Toc35251874"/>
      <w:bookmarkStart w:id="5" w:name="_Toc35252045"/>
      <w:r w:rsidRPr="00D7273E">
        <w:t>§ 3 Studienbeginn; Regelstudienzeit, Umfang</w:t>
      </w:r>
      <w:bookmarkEnd w:id="4"/>
      <w:bookmarkEnd w:id="5"/>
      <w:r w:rsidRPr="00D7273E">
        <w:t xml:space="preserve"> </w:t>
      </w:r>
    </w:p>
    <w:p w14:paraId="1F72A377" w14:textId="4E9AD8B6" w:rsidR="00380F85" w:rsidRDefault="00D7273E" w:rsidP="00D7273E">
      <w:pPr>
        <w:spacing w:after="0" w:line="240" w:lineRule="auto"/>
        <w:ind w:left="0" w:right="146" w:firstLine="0"/>
      </w:pPr>
      <w:r>
        <w:t xml:space="preserve">(1) </w:t>
      </w:r>
      <w:r w:rsidR="00F269CF">
        <w:t>Die Aufnahme der Zusatzstudien ist</w:t>
      </w:r>
      <w:r w:rsidR="00BB5A73">
        <w:t xml:space="preserve"> zum Wintersemester</w:t>
      </w:r>
      <w:r w:rsidR="00342344">
        <w:t xml:space="preserve"> oder Sommersemester</w:t>
      </w:r>
      <w:r w:rsidR="00BB5A73">
        <w:t xml:space="preserve"> zulässig.</w:t>
      </w:r>
    </w:p>
    <w:p w14:paraId="0BF5C5A1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6EAB6A35" w14:textId="77777777" w:rsidR="00380F85" w:rsidRDefault="00D7273E" w:rsidP="00D7273E">
      <w:pPr>
        <w:spacing w:after="0" w:line="240" w:lineRule="auto"/>
        <w:ind w:right="146"/>
      </w:pPr>
      <w:r>
        <w:t xml:space="preserve">(2) </w:t>
      </w:r>
      <w:r w:rsidR="00F269CF">
        <w:rPr>
          <w:vertAlign w:val="superscript"/>
        </w:rPr>
        <w:t>1</w:t>
      </w:r>
      <w:r w:rsidR="00F269CF">
        <w:t xml:space="preserve">Die Regelstudienzeit beträgt zwei Semester. </w:t>
      </w:r>
      <w:r w:rsidR="00F269CF">
        <w:rPr>
          <w:vertAlign w:val="superscript"/>
        </w:rPr>
        <w:t>2</w:t>
      </w:r>
      <w:r w:rsidR="00F269CF">
        <w:t xml:space="preserve">Der Umfang der im Rahmen der Zusatzstudien angebotenen Module richtet sich nach der </w:t>
      </w:r>
      <w:r w:rsidR="00F269CF">
        <w:rPr>
          <w:b/>
        </w:rPr>
        <w:t>Anlage</w:t>
      </w:r>
      <w:r w:rsidR="00F269CF">
        <w:t>.</w:t>
      </w:r>
    </w:p>
    <w:p w14:paraId="4116605A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127B2228" w14:textId="77777777" w:rsidR="00380F85" w:rsidRPr="00D7273E" w:rsidRDefault="00F269CF" w:rsidP="00D7273E">
      <w:pPr>
        <w:pStyle w:val="berschrift1"/>
        <w:spacing w:after="0" w:line="240" w:lineRule="auto"/>
      </w:pPr>
      <w:bookmarkStart w:id="6" w:name="_Toc35251875"/>
      <w:bookmarkStart w:id="7" w:name="_Toc35252046"/>
      <w:r w:rsidRPr="00D7273E">
        <w:t>§ 4 Qualifikationsvoraussetzungen</w:t>
      </w:r>
      <w:bookmarkEnd w:id="6"/>
      <w:bookmarkEnd w:id="7"/>
      <w:r w:rsidRPr="00D7273E">
        <w:t xml:space="preserve"> </w:t>
      </w:r>
    </w:p>
    <w:p w14:paraId="18DA1A9F" w14:textId="77777777" w:rsidR="00380F85" w:rsidRDefault="00F269CF" w:rsidP="00D7273E">
      <w:pPr>
        <w:spacing w:after="0" w:line="240" w:lineRule="auto"/>
        <w:ind w:left="-5" w:right="146"/>
      </w:pPr>
      <w:r w:rsidRPr="00FD2ED5">
        <w:rPr>
          <w:szCs w:val="24"/>
          <w:vertAlign w:val="superscript"/>
        </w:rPr>
        <w:t>1</w:t>
      </w:r>
      <w:r>
        <w:t>Der Zugang zu den Zusatzstudien Geowissenschaften im Lehramt und die Teilnah</w:t>
      </w:r>
      <w:r w:rsidR="00BB5A73">
        <w:t>-</w:t>
      </w:r>
      <w:r>
        <w:t>me an den entsprechenden Prüfungen setzt die</w:t>
      </w:r>
      <w:r w:rsidR="00BB5A73">
        <w:t xml:space="preserve"> Immatrikulation in einem Staats</w:t>
      </w:r>
      <w:r>
        <w:t>exa</w:t>
      </w:r>
      <w:r w:rsidR="00BB5A73">
        <w:t>-</w:t>
      </w:r>
      <w:r>
        <w:t>mensstudiengang für das Lehramt an Gymnasien oder Realschulen in den Fächern Geographie, Chemie, Physik, Mathematik oder Biologie bzw. für das Lehramt an Mittelschulen oder Grundschulen an der FAU voraus.</w:t>
      </w:r>
      <w:r>
        <w:rPr>
          <w:rFonts w:ascii="Calibri" w:eastAsia="Calibri" w:hAnsi="Calibri" w:cs="Calibri"/>
          <w:sz w:val="22"/>
        </w:rPr>
        <w:t xml:space="preserve"> </w:t>
      </w:r>
    </w:p>
    <w:p w14:paraId="023C012F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53061D1F" w14:textId="77777777" w:rsidR="00380F85" w:rsidRPr="00D7273E" w:rsidRDefault="00F269CF" w:rsidP="00D7273E">
      <w:pPr>
        <w:pStyle w:val="berschrift1"/>
        <w:spacing w:after="0" w:line="240" w:lineRule="auto"/>
      </w:pPr>
      <w:bookmarkStart w:id="8" w:name="_Toc35251876"/>
      <w:bookmarkStart w:id="9" w:name="_Toc35252047"/>
      <w:r w:rsidRPr="00D7273E">
        <w:t>§ 5 Prüfungsausschuss; Verfahrensrecht</w:t>
      </w:r>
      <w:bookmarkEnd w:id="8"/>
      <w:bookmarkEnd w:id="9"/>
      <w:r w:rsidRPr="00D7273E">
        <w:t xml:space="preserve"> </w:t>
      </w:r>
    </w:p>
    <w:p w14:paraId="2C981F2F" w14:textId="02DDEE12" w:rsidR="00380F85" w:rsidRDefault="00FD2ED5" w:rsidP="008906DD">
      <w:pPr>
        <w:spacing w:after="0" w:line="240" w:lineRule="auto"/>
        <w:ind w:right="141" w:firstLine="0"/>
      </w:pPr>
      <w:r>
        <w:t xml:space="preserve">(1) </w:t>
      </w:r>
      <w:r w:rsidR="00F269CF">
        <w:t xml:space="preserve">Für die Zusatzstudien ist der Prüfungsausschuss für den Bachelorstudiengang Geowissenschaften gemäß § 9 </w:t>
      </w:r>
      <w:r w:rsidR="008906DD">
        <w:t xml:space="preserve">Allgemeine Studien- und Prüfungsordnung für die Bachelor- und Masterstudiengänge an der Naturwissenschaftlichen Fakultät der Friedrich-Alexander-Universität Erlangen-Nürnberg (FAU) – </w:t>
      </w:r>
      <w:r w:rsidR="008906DD" w:rsidRPr="008906DD">
        <w:rPr>
          <w:b/>
        </w:rPr>
        <w:t>ABMPO/NatFak</w:t>
      </w:r>
      <w:r w:rsidR="008906DD">
        <w:t xml:space="preserve"> – </w:t>
      </w:r>
      <w:r w:rsidR="00F269CF">
        <w:t>in der jewei</w:t>
      </w:r>
      <w:r w:rsidR="00BB5A73">
        <w:t>ls geltenden Fassung zuständig.</w:t>
      </w:r>
    </w:p>
    <w:p w14:paraId="62F10E49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54BDF9E8" w14:textId="439ABFA3" w:rsidR="00380F85" w:rsidRDefault="00FD2ED5" w:rsidP="00BB5A73">
      <w:pPr>
        <w:spacing w:after="0" w:line="240" w:lineRule="auto"/>
        <w:ind w:right="0"/>
      </w:pPr>
      <w:r>
        <w:t xml:space="preserve">(2) </w:t>
      </w:r>
      <w:r w:rsidR="00F269CF">
        <w:t xml:space="preserve">Die Regelungen der </w:t>
      </w:r>
      <w:r w:rsidR="008906DD" w:rsidRPr="008906DD">
        <w:rPr>
          <w:b/>
        </w:rPr>
        <w:t>ABMPO/NatFak</w:t>
      </w:r>
      <w:r w:rsidR="008906DD">
        <w:t xml:space="preserve"> </w:t>
      </w:r>
      <w:r w:rsidR="00F269CF">
        <w:t>finden insgesamt entsprechende Anwendung, soweit diese den Grundsätzen der Zusatzstudien nicht widersprechen bzw. in dieser Studien- und Prüfungsordnu</w:t>
      </w:r>
      <w:r w:rsidR="00CF70FF">
        <w:t>ng nichts anderes bestimmt ist.</w:t>
      </w:r>
    </w:p>
    <w:p w14:paraId="17292EFF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21FCADD4" w14:textId="77777777" w:rsidR="00380F85" w:rsidRPr="00D7273E" w:rsidRDefault="00F269CF" w:rsidP="00D7273E">
      <w:pPr>
        <w:pStyle w:val="berschrift1"/>
        <w:spacing w:after="0" w:line="240" w:lineRule="auto"/>
      </w:pPr>
      <w:bookmarkStart w:id="10" w:name="_Toc35251877"/>
      <w:bookmarkStart w:id="11" w:name="_Toc35252048"/>
      <w:r w:rsidRPr="00D7273E">
        <w:lastRenderedPageBreak/>
        <w:t>§ 6 Zulassung zu den Prüfungen</w:t>
      </w:r>
      <w:bookmarkEnd w:id="10"/>
      <w:bookmarkEnd w:id="11"/>
      <w:r w:rsidRPr="00D7273E">
        <w:t xml:space="preserve"> </w:t>
      </w:r>
    </w:p>
    <w:p w14:paraId="75A5528A" w14:textId="77777777" w:rsidR="00380F85" w:rsidRDefault="00F269CF" w:rsidP="00D7273E">
      <w:pPr>
        <w:spacing w:after="0" w:line="240" w:lineRule="auto"/>
        <w:ind w:left="-5" w:right="146"/>
      </w:pPr>
      <w:r w:rsidRPr="00FD2ED5">
        <w:rPr>
          <w:szCs w:val="24"/>
          <w:vertAlign w:val="superscript"/>
        </w:rPr>
        <w:t>1</w:t>
      </w:r>
      <w:r>
        <w:rPr>
          <w:sz w:val="16"/>
        </w:rPr>
        <w:t xml:space="preserve"> </w:t>
      </w:r>
      <w:r>
        <w:t xml:space="preserve">Mit der Immatrikulation in die in § 4 genannten Studiengänge gelten Studierende zu den Modulprüfungen der Zusatzstudien als zugelassen. </w:t>
      </w:r>
      <w:r>
        <w:rPr>
          <w:vertAlign w:val="superscript"/>
        </w:rPr>
        <w:t>2</w:t>
      </w:r>
      <w:r>
        <w:t>Die Zulassung ist zu versagen, soweit eine Zulassung zur jeweiligen Modulprüfung be</w:t>
      </w:r>
      <w:r w:rsidR="00FD2ED5">
        <w:t>reits anderweitig erfolgt ist.</w:t>
      </w:r>
    </w:p>
    <w:p w14:paraId="625C5EA2" w14:textId="77777777" w:rsidR="00FD2ED5" w:rsidRDefault="00FD2ED5" w:rsidP="00D7273E">
      <w:pPr>
        <w:spacing w:after="0" w:line="240" w:lineRule="auto"/>
        <w:ind w:left="-5" w:right="146"/>
      </w:pPr>
    </w:p>
    <w:p w14:paraId="0CA75947" w14:textId="77777777" w:rsidR="00380F85" w:rsidRDefault="00F269CF" w:rsidP="00D7273E">
      <w:pPr>
        <w:pStyle w:val="berschrift1"/>
        <w:spacing w:after="0" w:line="240" w:lineRule="auto"/>
      </w:pPr>
      <w:bookmarkStart w:id="12" w:name="_Toc35252049"/>
      <w:r>
        <w:t>§ 7 Prüfungen</w:t>
      </w:r>
      <w:bookmarkEnd w:id="12"/>
      <w:r>
        <w:t xml:space="preserve"> </w:t>
      </w:r>
    </w:p>
    <w:p w14:paraId="0B18A5E7" w14:textId="77777777" w:rsidR="00380F85" w:rsidRDefault="00F269CF" w:rsidP="00D7273E">
      <w:pPr>
        <w:spacing w:after="0" w:line="240" w:lineRule="auto"/>
        <w:ind w:left="-5" w:right="146"/>
      </w:pPr>
      <w:r>
        <w:t xml:space="preserve">Gegenstände sowie Art und Umfang der Prüfungen ergeben sich aus der </w:t>
      </w:r>
      <w:r>
        <w:rPr>
          <w:b/>
        </w:rPr>
        <w:t>Anlage</w:t>
      </w:r>
      <w:r>
        <w:t xml:space="preserve">. </w:t>
      </w:r>
    </w:p>
    <w:p w14:paraId="4BA14FBB" w14:textId="77777777" w:rsidR="00BB5A73" w:rsidRDefault="00BB5A73" w:rsidP="00D7273E">
      <w:pPr>
        <w:spacing w:after="0" w:line="240" w:lineRule="auto"/>
        <w:ind w:left="0" w:right="146" w:firstLine="0"/>
        <w:jc w:val="left"/>
      </w:pPr>
      <w:r>
        <w:br w:type="page"/>
      </w:r>
    </w:p>
    <w:p w14:paraId="067C9759" w14:textId="77777777" w:rsidR="00380F85" w:rsidRPr="00D7273E" w:rsidRDefault="00F269CF" w:rsidP="00D7273E">
      <w:pPr>
        <w:pStyle w:val="berschrift1"/>
        <w:spacing w:after="0" w:line="240" w:lineRule="auto"/>
      </w:pPr>
      <w:bookmarkStart w:id="13" w:name="_Toc35251878"/>
      <w:bookmarkStart w:id="14" w:name="_Toc35252050"/>
      <w:r w:rsidRPr="00D7273E">
        <w:lastRenderedPageBreak/>
        <w:t>§ 8 Transcript of Records; Zertifikat</w:t>
      </w:r>
      <w:bookmarkEnd w:id="13"/>
      <w:bookmarkEnd w:id="14"/>
      <w:r w:rsidRPr="00D7273E">
        <w:t xml:space="preserve"> </w:t>
      </w:r>
    </w:p>
    <w:p w14:paraId="74C6DFB6" w14:textId="20F4199D" w:rsidR="00380F85" w:rsidRDefault="00BB5A73" w:rsidP="00BB5A73">
      <w:pPr>
        <w:spacing w:after="0" w:line="240" w:lineRule="auto"/>
        <w:ind w:right="146" w:firstLine="0"/>
      </w:pPr>
      <w:r w:rsidRPr="00BB5A73">
        <w:t>(1)</w:t>
      </w:r>
      <w:r>
        <w:rPr>
          <w:vertAlign w:val="superscript"/>
        </w:rPr>
        <w:t xml:space="preserve"> </w:t>
      </w:r>
      <w:r w:rsidR="00F269CF">
        <w:rPr>
          <w:vertAlign w:val="superscript"/>
        </w:rPr>
        <w:t>1</w:t>
      </w:r>
      <w:r w:rsidR="00F269CF">
        <w:t>Der Nachweis über die im Rahmen der Zusatzstudien erfolgreich abgelegten</w:t>
      </w:r>
      <w:r>
        <w:br/>
      </w:r>
      <w:r w:rsidR="00F269CF">
        <w:t xml:space="preserve">Modulprüfungen erfolgt über das Transcript of Records nach § 20 Studien- und Prüfungsordnung für die Modulprüfungen im Rahmen der Ersten Lehramtsprüfung sowie den lehramtsbezogenen Masterstudiengang Gymnasium an der FAU - </w:t>
      </w:r>
      <w:r w:rsidR="00F269CF">
        <w:rPr>
          <w:b/>
        </w:rPr>
        <w:t>LAPO</w:t>
      </w:r>
      <w:r w:rsidR="00F269CF">
        <w:t xml:space="preserve"> - und für die Teilstudiengänge des an der Otto-Friedrich-Universität Bamberg verorteten </w:t>
      </w:r>
      <w:r w:rsidR="008906DD" w:rsidRPr="008906DD">
        <w:rPr>
          <w:bCs/>
        </w:rPr>
        <w:t>Studiengangs Bachelor Ed./ Master Ed.</w:t>
      </w:r>
      <w:r w:rsidR="008906DD" w:rsidRPr="008906DD">
        <w:rPr>
          <w:b/>
        </w:rPr>
        <w:t xml:space="preserve"> </w:t>
      </w:r>
      <w:r w:rsidR="00F269CF">
        <w:t xml:space="preserve">„Berufliche Bildung/ Fachrichtung Sozialpädagogik - Vocational Education/ Social Pedagogy and Social Services“ in der jeweils geltenden Fassung. </w:t>
      </w:r>
      <w:r w:rsidR="00F269CF">
        <w:rPr>
          <w:vertAlign w:val="superscript"/>
        </w:rPr>
        <w:t>2</w:t>
      </w:r>
      <w:r w:rsidR="00F269CF">
        <w:t>Auf Antrag der bzw. des Studierenden beim Prüfungsamt können bis spätestens acht Wochen vor Zeugnisausstellung einzelne Zusatzmodule davon ausge-</w:t>
      </w:r>
      <w:r w:rsidR="00F269CF">
        <w:br/>
        <w:t xml:space="preserve">nommen werden. </w:t>
      </w:r>
    </w:p>
    <w:p w14:paraId="0C8133AB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53A7E5FC" w14:textId="77777777" w:rsidR="00380F85" w:rsidRDefault="00CF70FF" w:rsidP="00CF70FF">
      <w:pPr>
        <w:spacing w:after="0" w:line="240" w:lineRule="auto"/>
        <w:ind w:right="146" w:firstLine="0"/>
      </w:pPr>
      <w:r>
        <w:t xml:space="preserve">(2) </w:t>
      </w:r>
      <w:r w:rsidR="00F269CF">
        <w:t xml:space="preserve">Werden alle Module der </w:t>
      </w:r>
      <w:r w:rsidR="00F269CF">
        <w:rPr>
          <w:b/>
        </w:rPr>
        <w:t>Anlage</w:t>
      </w:r>
      <w:r w:rsidR="00F269CF">
        <w:t xml:space="preserve"> im Umfang von 20 ECTS-Punkten erfolgreich abgeschlossen, wird zusätzlich ein „Zertifikat Zusatzstudien Geowissenschaften im Lehramt“ ausgestellt, das von der bzw. dem Verantwortlichen für die Zusatzstudien zu unterzeichnen ist. </w:t>
      </w:r>
    </w:p>
    <w:p w14:paraId="6B2EDD98" w14:textId="77777777" w:rsidR="00380F85" w:rsidRDefault="00380F85" w:rsidP="00D7273E">
      <w:pPr>
        <w:spacing w:after="0" w:line="240" w:lineRule="auto"/>
        <w:ind w:left="0" w:right="146" w:firstLine="0"/>
        <w:jc w:val="left"/>
      </w:pPr>
    </w:p>
    <w:p w14:paraId="7FF80361" w14:textId="439337ED" w:rsidR="00380F85" w:rsidRPr="00D7273E" w:rsidRDefault="00F269CF" w:rsidP="00D7273E">
      <w:pPr>
        <w:pStyle w:val="berschrift1"/>
        <w:spacing w:after="0" w:line="240" w:lineRule="auto"/>
      </w:pPr>
      <w:bookmarkStart w:id="15" w:name="_Toc35251879"/>
      <w:bookmarkStart w:id="16" w:name="_Toc35252051"/>
      <w:r w:rsidRPr="00D7273E">
        <w:t>§ 9 Inkrafttreten</w:t>
      </w:r>
      <w:bookmarkEnd w:id="15"/>
      <w:bookmarkEnd w:id="16"/>
      <w:r w:rsidRPr="00D7273E">
        <w:t xml:space="preserve"> </w:t>
      </w:r>
    </w:p>
    <w:p w14:paraId="68A6A77B" w14:textId="23B455F3" w:rsidR="00380F85" w:rsidRDefault="00F269CF" w:rsidP="00CF70FF">
      <w:pPr>
        <w:spacing w:after="0" w:line="240" w:lineRule="auto"/>
        <w:ind w:right="146"/>
      </w:pPr>
      <w:r>
        <w:t xml:space="preserve">Diese Studien- und Prüfungsordnung tritt am 1. Oktober </w:t>
      </w:r>
      <w:r w:rsidR="0070710E">
        <w:t>2022</w:t>
      </w:r>
      <w:r>
        <w:t xml:space="preserve"> in Kraft.  </w:t>
      </w:r>
    </w:p>
    <w:p w14:paraId="6C48B430" w14:textId="6F355DE4" w:rsidR="00380F85" w:rsidRDefault="00F269CF" w:rsidP="00CF70FF">
      <w:pPr>
        <w:spacing w:after="0" w:line="240" w:lineRule="auto"/>
        <w:ind w:right="146"/>
      </w:pPr>
      <w:r>
        <w:t xml:space="preserve"> </w:t>
      </w:r>
    </w:p>
    <w:p w14:paraId="3C3582C2" w14:textId="77777777" w:rsidR="00380F85" w:rsidRDefault="00F269CF" w:rsidP="00D7273E">
      <w:pPr>
        <w:spacing w:after="0" w:line="240" w:lineRule="auto"/>
        <w:ind w:left="0" w:right="146" w:firstLine="0"/>
        <w:jc w:val="left"/>
      </w:pPr>
      <w:r>
        <w:t xml:space="preserve"> </w:t>
      </w:r>
    </w:p>
    <w:p w14:paraId="6BE626EA" w14:textId="77777777" w:rsidR="00380F85" w:rsidRDefault="00F269CF" w:rsidP="00D7273E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76FC20F" w14:textId="77777777" w:rsidR="00380F85" w:rsidRDefault="00380F85" w:rsidP="00D7273E">
      <w:pPr>
        <w:spacing w:after="0" w:line="240" w:lineRule="auto"/>
        <w:sectPr w:rsidR="00380F85" w:rsidSect="00991557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417" w:right="1417" w:bottom="1134" w:left="1417" w:header="720" w:footer="444" w:gutter="0"/>
          <w:cols w:space="720"/>
          <w:docGrid w:linePitch="326"/>
        </w:sectPr>
      </w:pPr>
    </w:p>
    <w:p w14:paraId="1574BEC0" w14:textId="1A3F8451" w:rsidR="00380F85" w:rsidRPr="00CF70FF" w:rsidRDefault="0070710E" w:rsidP="00CF70FF">
      <w:pPr>
        <w:pStyle w:val="berschrift1"/>
        <w:spacing w:after="0" w:line="240" w:lineRule="auto"/>
        <w:jc w:val="left"/>
        <w:rPr>
          <w:b w:val="0"/>
        </w:rPr>
      </w:pPr>
      <w:bookmarkStart w:id="17" w:name="_Toc35252052"/>
      <w:r>
        <w:lastRenderedPageBreak/>
        <w:t>An</w:t>
      </w:r>
      <w:r w:rsidR="00F269CF">
        <w:t xml:space="preserve">lage </w:t>
      </w:r>
      <w:r w:rsidR="00F269CF" w:rsidRPr="00CF70FF">
        <w:rPr>
          <w:b w:val="0"/>
        </w:rPr>
        <w:t>Studienverlaufsplan „Zusatzstudien Geowissenschaften im Lehramt“</w:t>
      </w:r>
      <w:bookmarkEnd w:id="17"/>
      <w:r w:rsidR="00F269CF" w:rsidRPr="00CF70FF">
        <w:rPr>
          <w:b w:val="0"/>
        </w:rPr>
        <w:t xml:space="preserve"> </w:t>
      </w:r>
    </w:p>
    <w:p w14:paraId="3AC6849F" w14:textId="77777777" w:rsidR="00380F85" w:rsidRDefault="00380F85" w:rsidP="00D7273E">
      <w:pPr>
        <w:spacing w:after="0" w:line="240" w:lineRule="auto"/>
        <w:ind w:left="0" w:right="0" w:firstLine="0"/>
        <w:jc w:val="left"/>
      </w:pPr>
    </w:p>
    <w:tbl>
      <w:tblPr>
        <w:tblStyle w:val="TableGrid"/>
        <w:tblW w:w="14183" w:type="dxa"/>
        <w:tblInd w:w="-140" w:type="dxa"/>
        <w:tblCellMar>
          <w:top w:w="36" w:type="dxa"/>
          <w:left w:w="60" w:type="dxa"/>
          <w:right w:w="5" w:type="dxa"/>
        </w:tblCellMar>
        <w:tblLook w:val="04A0" w:firstRow="1" w:lastRow="0" w:firstColumn="1" w:lastColumn="0" w:noHBand="0" w:noVBand="1"/>
      </w:tblPr>
      <w:tblGrid>
        <w:gridCol w:w="3537"/>
        <w:gridCol w:w="3260"/>
        <w:gridCol w:w="556"/>
        <w:gridCol w:w="557"/>
        <w:gridCol w:w="556"/>
        <w:gridCol w:w="516"/>
        <w:gridCol w:w="869"/>
        <w:gridCol w:w="768"/>
        <w:gridCol w:w="770"/>
        <w:gridCol w:w="2794"/>
      </w:tblGrid>
      <w:tr w:rsidR="002F1826" w:rsidRPr="00144983" w14:paraId="1AAAA961" w14:textId="77777777" w:rsidTr="002F1826">
        <w:trPr>
          <w:trHeight w:val="215"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6CDA9C6E" w14:textId="77777777" w:rsidR="002F1826" w:rsidRPr="0070710E" w:rsidRDefault="002F1826" w:rsidP="00484D9C">
            <w:pPr>
              <w:spacing w:after="0" w:line="240" w:lineRule="auto"/>
              <w:ind w:left="80" w:right="0" w:firstLine="0"/>
              <w:jc w:val="left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 xml:space="preserve">Modulbezeichnung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19B00B8B" w14:textId="77777777" w:rsidR="002F1826" w:rsidRPr="0070710E" w:rsidRDefault="002F1826" w:rsidP="00484D9C">
            <w:pPr>
              <w:spacing w:after="0" w:line="240" w:lineRule="auto"/>
              <w:ind w:left="0" w:right="23" w:firstLine="0"/>
              <w:jc w:val="center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 xml:space="preserve">Lehrveranstaltung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11B79669" w14:textId="77777777" w:rsidR="002F1826" w:rsidRPr="0070710E" w:rsidRDefault="002F1826" w:rsidP="00484D9C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4B11F57D" w14:textId="77777777" w:rsidR="002F1826" w:rsidRPr="0070710E" w:rsidRDefault="002F1826" w:rsidP="00484D9C">
            <w:pPr>
              <w:spacing w:after="0" w:line="240" w:lineRule="auto"/>
              <w:ind w:left="0" w:right="61" w:firstLine="0"/>
              <w:jc w:val="center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 xml:space="preserve">SWS 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0B0390DC" w14:textId="77777777" w:rsidR="002F1826" w:rsidRPr="0070710E" w:rsidRDefault="002F1826" w:rsidP="00484D9C">
            <w:pPr>
              <w:spacing w:after="0" w:line="240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22D8F03C" w14:textId="77777777" w:rsidR="002F1826" w:rsidRPr="0070710E" w:rsidRDefault="002F1826" w:rsidP="00484D9C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>Gesamt ECTS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7784FCFE" w14:textId="77777777" w:rsidR="002F1826" w:rsidRPr="0070710E" w:rsidRDefault="002F1826" w:rsidP="0070710E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>1. Sem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43EA9C40" w14:textId="77777777" w:rsidR="002F1826" w:rsidRPr="0070710E" w:rsidRDefault="002F1826" w:rsidP="0070710E">
            <w:pPr>
              <w:spacing w:after="0" w:line="240" w:lineRule="auto"/>
              <w:ind w:left="0" w:right="0" w:firstLine="0"/>
              <w:jc w:val="center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>2. Sem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1A792662" w14:textId="07B18434" w:rsidR="002F1826" w:rsidRPr="0070710E" w:rsidRDefault="002F1826" w:rsidP="0070710E">
            <w:pPr>
              <w:spacing w:after="0" w:line="240" w:lineRule="auto"/>
              <w:ind w:left="78" w:firstLine="0"/>
              <w:jc w:val="center"/>
              <w:rPr>
                <w:b/>
                <w:sz w:val="18"/>
                <w:szCs w:val="18"/>
              </w:rPr>
            </w:pPr>
            <w:r w:rsidRPr="0070710E">
              <w:rPr>
                <w:b/>
                <w:color w:val="FFFFFF"/>
                <w:sz w:val="18"/>
                <w:szCs w:val="18"/>
              </w:rPr>
              <w:t>Art und Umfang der  Prüfung</w:t>
            </w:r>
          </w:p>
        </w:tc>
      </w:tr>
      <w:tr w:rsidR="002F1826" w:rsidRPr="00144983" w14:paraId="40BD7774" w14:textId="77777777" w:rsidTr="002F1826">
        <w:trPr>
          <w:trHeight w:val="215"/>
        </w:trPr>
        <w:tc>
          <w:tcPr>
            <w:tcW w:w="3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9E32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A13C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F032FB1" w14:textId="77777777" w:rsidR="002F1826" w:rsidRPr="0070710E" w:rsidRDefault="002F1826" w:rsidP="00484D9C">
            <w:pPr>
              <w:spacing w:after="0" w:line="240" w:lineRule="auto"/>
              <w:ind w:left="0" w:right="2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0710E">
              <w:rPr>
                <w:b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849A2A5" w14:textId="77777777" w:rsidR="002F1826" w:rsidRPr="0070710E" w:rsidRDefault="002F1826" w:rsidP="00484D9C">
            <w:pPr>
              <w:spacing w:after="0" w:line="240" w:lineRule="auto"/>
              <w:ind w:left="0" w:right="23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0710E">
              <w:rPr>
                <w:b/>
                <w:color w:val="FFFFFF" w:themeColor="background1"/>
                <w:sz w:val="18"/>
                <w:szCs w:val="18"/>
              </w:rPr>
              <w:t>Ü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BF16BD4" w14:textId="77777777" w:rsidR="002F1826" w:rsidRPr="0070710E" w:rsidRDefault="002F1826" w:rsidP="00484D9C">
            <w:pPr>
              <w:spacing w:after="0" w:line="240" w:lineRule="auto"/>
              <w:ind w:left="0" w:right="22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0710E">
              <w:rPr>
                <w:b/>
                <w:color w:val="FFFFFF" w:themeColor="background1"/>
                <w:sz w:val="18"/>
                <w:szCs w:val="18"/>
              </w:rPr>
              <w:t>P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7C2A6B0" w14:textId="77777777" w:rsidR="002F1826" w:rsidRPr="0070710E" w:rsidRDefault="002F1826" w:rsidP="00484D9C">
            <w:pPr>
              <w:spacing w:after="0" w:line="240" w:lineRule="auto"/>
              <w:ind w:left="0" w:right="24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0710E">
              <w:rPr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181A5C1" w14:textId="77777777" w:rsidR="002F1826" w:rsidRPr="0070710E" w:rsidRDefault="002F1826" w:rsidP="00484D9C">
            <w:pPr>
              <w:spacing w:after="0" w:line="240" w:lineRule="auto"/>
              <w:ind w:left="0" w:righ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C07B4F" w14:textId="62EFBEAC" w:rsidR="002F1826" w:rsidRPr="0070710E" w:rsidRDefault="002F1826" w:rsidP="00484D9C">
            <w:pPr>
              <w:spacing w:after="0" w:line="240" w:lineRule="auto"/>
              <w:ind w:left="101" w:righ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4476742" w14:textId="6773DCF0" w:rsidR="002F1826" w:rsidRPr="0070710E" w:rsidRDefault="002F1826" w:rsidP="00484D9C">
            <w:pPr>
              <w:spacing w:after="0" w:line="240" w:lineRule="auto"/>
              <w:ind w:left="101" w:right="0" w:firstLine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20F2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2F1826" w:rsidRPr="00144983" w14:paraId="7EE9925A" w14:textId="77777777" w:rsidTr="002F1826">
        <w:trPr>
          <w:trHeight w:val="469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6A64" w14:textId="6F00DBDF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A7400C">
              <w:rPr>
                <w:b/>
                <w:color w:val="000000"/>
                <w:sz w:val="18"/>
                <w:szCs w:val="18"/>
              </w:rPr>
              <w:t xml:space="preserve">Das System Erde </w:t>
            </w:r>
            <w:r>
              <w:rPr>
                <w:b/>
                <w:color w:val="000000"/>
                <w:sz w:val="18"/>
                <w:szCs w:val="18"/>
              </w:rPr>
              <w:t>(Geo-</w:t>
            </w:r>
            <w:r w:rsidRPr="00144983">
              <w:rPr>
                <w:b/>
                <w:color w:val="000000"/>
                <w:sz w:val="18"/>
                <w:szCs w:val="18"/>
              </w:rPr>
              <w:t>Sys</w:t>
            </w:r>
            <w:r>
              <w:rPr>
                <w:b/>
                <w:color w:val="000000"/>
                <w:sz w:val="18"/>
                <w:szCs w:val="18"/>
              </w:rPr>
              <w:t>tem</w:t>
            </w:r>
            <w:r w:rsidRPr="00144983">
              <w:rPr>
                <w:b/>
                <w:color w:val="000000"/>
                <w:sz w:val="18"/>
                <w:szCs w:val="18"/>
              </w:rPr>
              <w:t>-Erde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  <w:r w:rsidRPr="0014498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A6294" w14:textId="77777777" w:rsidR="002F1826" w:rsidRPr="00144983" w:rsidRDefault="002F1826" w:rsidP="00484D9C">
            <w:pPr>
              <w:spacing w:after="0" w:line="240" w:lineRule="auto"/>
              <w:ind w:left="80" w:right="0" w:firstLine="0"/>
              <w:jc w:val="left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Das System Erde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C952" w14:textId="77777777" w:rsidR="002F1826" w:rsidRPr="00144983" w:rsidRDefault="002F1826" w:rsidP="00484D9C">
            <w:pPr>
              <w:spacing w:after="0" w:line="240" w:lineRule="auto"/>
              <w:ind w:left="3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0482" w14:textId="0EFFFDF7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F880" w14:textId="77777777" w:rsidR="002F1826" w:rsidRPr="00144983" w:rsidRDefault="002F1826" w:rsidP="00484D9C">
            <w:pPr>
              <w:spacing w:after="0" w:line="240" w:lineRule="auto"/>
              <w:ind w:left="2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F0FC" w14:textId="0DBE9B44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BCD04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C148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D528" w14:textId="77777777" w:rsidR="002F1826" w:rsidRPr="00144983" w:rsidRDefault="002F1826" w:rsidP="00484D9C">
            <w:pPr>
              <w:spacing w:after="0" w:line="240" w:lineRule="auto"/>
              <w:ind w:left="2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B0CB" w14:textId="77777777" w:rsidR="002F1826" w:rsidRDefault="002F1826" w:rsidP="00484D9C">
            <w:pPr>
              <w:spacing w:after="0" w:line="240" w:lineRule="auto"/>
              <w:ind w:left="82" w:right="907" w:firstLine="0"/>
              <w:jc w:val="left"/>
              <w:rPr>
                <w:color w:val="000000"/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SeL </w:t>
            </w:r>
          </w:p>
          <w:p w14:paraId="1C259CAE" w14:textId="65A6B3E0" w:rsidR="002F1826" w:rsidRPr="00144983" w:rsidRDefault="002F1826" w:rsidP="002F1826">
            <w:pPr>
              <w:spacing w:after="0" w:line="240" w:lineRule="auto"/>
              <w:ind w:left="82" w:right="-844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(Hausarbeit</w:t>
            </w:r>
            <w:bookmarkStart w:id="18" w:name="_GoBack"/>
            <w:bookmarkEnd w:id="18"/>
            <w:r w:rsidRPr="00144983">
              <w:rPr>
                <w:color w:val="000000"/>
                <w:sz w:val="18"/>
                <w:szCs w:val="18"/>
              </w:rPr>
              <w:t xml:space="preserve"> 5 Seiten)</w:t>
            </w:r>
          </w:p>
        </w:tc>
      </w:tr>
      <w:tr w:rsidR="002F1826" w:rsidRPr="00144983" w14:paraId="0D6AD83A" w14:textId="77777777" w:rsidTr="002F1826">
        <w:trPr>
          <w:trHeight w:val="559"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7C2E" w14:textId="6F12E6C3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A7400C">
              <w:rPr>
                <w:b/>
                <w:color w:val="000000"/>
                <w:sz w:val="18"/>
                <w:szCs w:val="18"/>
              </w:rPr>
              <w:t xml:space="preserve">Der Mensch im geowissenschaftlichen Umfeld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r w:rsidRPr="00144983">
              <w:rPr>
                <w:b/>
                <w:color w:val="000000"/>
                <w:sz w:val="18"/>
                <w:szCs w:val="18"/>
              </w:rPr>
              <w:t>Geo-Umfeld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E9B8" w14:textId="77777777" w:rsidR="002F1826" w:rsidRPr="00144983" w:rsidRDefault="002F1826" w:rsidP="00484D9C">
            <w:pPr>
              <w:spacing w:after="0" w:line="240" w:lineRule="auto"/>
              <w:ind w:left="80" w:right="0" w:firstLine="0"/>
              <w:jc w:val="left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Der Mensch im geowissenschaftlichen Umfeld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1F19" w14:textId="77777777" w:rsidR="002F1826" w:rsidRPr="00144983" w:rsidRDefault="002F1826" w:rsidP="00484D9C">
            <w:pPr>
              <w:spacing w:after="0" w:line="240" w:lineRule="auto"/>
              <w:ind w:left="3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C119" w14:textId="77777777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ACB5" w14:textId="77777777" w:rsidR="002F1826" w:rsidRPr="00144983" w:rsidRDefault="002F1826" w:rsidP="00484D9C">
            <w:pPr>
              <w:spacing w:after="0" w:line="240" w:lineRule="auto"/>
              <w:ind w:left="2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6050" w14:textId="432BB1FD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BE9F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A045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4DFB" w14:textId="77777777" w:rsidR="002F1826" w:rsidRPr="00144983" w:rsidRDefault="002F1826" w:rsidP="00484D9C">
            <w:pPr>
              <w:spacing w:after="0" w:line="240" w:lineRule="auto"/>
              <w:ind w:left="2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8AFF" w14:textId="77777777" w:rsidR="002F1826" w:rsidRPr="00144983" w:rsidRDefault="002F1826" w:rsidP="00484D9C">
            <w:pPr>
              <w:spacing w:after="0" w:line="240" w:lineRule="auto"/>
              <w:ind w:left="82" w:right="0" w:firstLine="0"/>
              <w:jc w:val="left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Mündliche Prüfung (30 Minuten) </w:t>
            </w:r>
          </w:p>
        </w:tc>
      </w:tr>
      <w:tr w:rsidR="002F1826" w:rsidRPr="00144983" w14:paraId="2506FFD2" w14:textId="77777777" w:rsidTr="002F1826">
        <w:trPr>
          <w:trHeight w:val="437"/>
        </w:trPr>
        <w:tc>
          <w:tcPr>
            <w:tcW w:w="3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E4B6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0A70" w14:textId="77777777" w:rsidR="002F1826" w:rsidRPr="00144983" w:rsidRDefault="002F1826" w:rsidP="00484D9C">
            <w:pPr>
              <w:spacing w:after="0" w:line="240" w:lineRule="auto"/>
              <w:ind w:left="80" w:right="0" w:firstLine="0"/>
              <w:jc w:val="left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Archäometrie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128E0" w14:textId="77777777" w:rsidR="002F1826" w:rsidRPr="00144983" w:rsidRDefault="002F1826" w:rsidP="00484D9C">
            <w:pPr>
              <w:spacing w:after="0" w:line="240" w:lineRule="auto"/>
              <w:ind w:left="3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106F" w14:textId="77777777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6437" w14:textId="77777777" w:rsidR="002F1826" w:rsidRPr="00144983" w:rsidRDefault="002F1826" w:rsidP="00484D9C">
            <w:pPr>
              <w:spacing w:after="0" w:line="240" w:lineRule="auto"/>
              <w:ind w:left="2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6F6B" w14:textId="77777777" w:rsidR="002F1826" w:rsidRPr="00144983" w:rsidRDefault="002F1826" w:rsidP="00484D9C">
            <w:pPr>
              <w:spacing w:after="0" w:line="240" w:lineRule="auto"/>
              <w:ind w:left="2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22C0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983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7083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14BA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 w:rsidR="002F1826" w:rsidRPr="00144983" w14:paraId="26BCA199" w14:textId="77777777" w:rsidTr="002F1826">
        <w:trPr>
          <w:trHeight w:val="39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29C0" w14:textId="77777777" w:rsidR="002F1826" w:rsidRDefault="002F1826" w:rsidP="002B4596">
            <w:pPr>
              <w:spacing w:after="0" w:line="240" w:lineRule="auto"/>
              <w:ind w:left="0" w:right="22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7400C">
              <w:rPr>
                <w:b/>
                <w:color w:val="000000"/>
                <w:sz w:val="18"/>
                <w:szCs w:val="18"/>
              </w:rPr>
              <w:t>Rohstoffe und Nachhaltigkeit</w:t>
            </w:r>
            <w:r w:rsidRPr="00A7400C" w:rsidDel="00A7400C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1890D37D" w14:textId="6832EC03" w:rsidR="002F1826" w:rsidRPr="002B4596" w:rsidRDefault="002F1826" w:rsidP="002B4596">
            <w:pPr>
              <w:spacing w:after="0" w:line="240" w:lineRule="auto"/>
              <w:ind w:left="0" w:right="22"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(Geo-Rohstoffe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0E1EBB" w14:textId="296281C5" w:rsidR="002F1826" w:rsidRPr="00144983" w:rsidRDefault="002F1826" w:rsidP="00484D9C">
            <w:pPr>
              <w:spacing w:after="0" w:line="240" w:lineRule="auto"/>
              <w:ind w:left="8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 </w:t>
            </w:r>
            <w:r w:rsidRPr="00144983">
              <w:rPr>
                <w:color w:val="000000"/>
                <w:sz w:val="18"/>
                <w:szCs w:val="18"/>
              </w:rPr>
              <w:t>Rohstoffe und Nachhaltigkeit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DA7E0" w14:textId="77777777" w:rsidR="002F1826" w:rsidRPr="00144983" w:rsidRDefault="002F1826" w:rsidP="00484D9C">
            <w:pPr>
              <w:spacing w:after="0" w:line="240" w:lineRule="auto"/>
              <w:ind w:left="3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E2233" w14:textId="77777777" w:rsidR="002F1826" w:rsidRPr="00144983" w:rsidRDefault="002F1826" w:rsidP="00484D9C">
            <w:pPr>
              <w:spacing w:after="0" w:line="240" w:lineRule="auto"/>
              <w:ind w:left="2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2F8F6" w14:textId="77777777" w:rsidR="002F1826" w:rsidRPr="00144983" w:rsidRDefault="002F1826" w:rsidP="00484D9C">
            <w:pPr>
              <w:spacing w:after="0" w:line="240" w:lineRule="auto"/>
              <w:ind w:left="2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A5C791" w14:textId="43193523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C31F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2DA4" w14:textId="77777777" w:rsidR="002F1826" w:rsidRPr="00144983" w:rsidRDefault="002F1826" w:rsidP="00484D9C">
            <w:pPr>
              <w:spacing w:after="0" w:line="240" w:lineRule="auto"/>
              <w:ind w:left="2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BAF4" w14:textId="77777777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F0C9D" w14:textId="46AA45F7" w:rsidR="002F1826" w:rsidRPr="00144983" w:rsidRDefault="002F1826" w:rsidP="00484D9C">
            <w:pPr>
              <w:spacing w:after="0" w:line="240" w:lineRule="auto"/>
              <w:ind w:left="82" w:right="0" w:firstLine="0"/>
              <w:jc w:val="left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SeL (Präsentation in Form eines Video-Tutorials</w:t>
            </w:r>
            <w:r>
              <w:rPr>
                <w:color w:val="000000"/>
                <w:sz w:val="18"/>
                <w:szCs w:val="18"/>
              </w:rPr>
              <w:t xml:space="preserve"> 5</w:t>
            </w:r>
            <w:r w:rsidRPr="00144983">
              <w:rPr>
                <w:color w:val="000000"/>
                <w:sz w:val="18"/>
                <w:szCs w:val="18"/>
              </w:rPr>
              <w:t xml:space="preserve"> Minuten und Bericht 5 Seiten)</w:t>
            </w:r>
          </w:p>
        </w:tc>
      </w:tr>
      <w:tr w:rsidR="002F1826" w:rsidRPr="00144983" w14:paraId="04A76F06" w14:textId="77777777" w:rsidTr="002F1826">
        <w:trPr>
          <w:trHeight w:val="308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6DA2" w14:textId="47D0094F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A7400C">
              <w:rPr>
                <w:b/>
                <w:color w:val="000000"/>
                <w:sz w:val="18"/>
                <w:szCs w:val="18"/>
              </w:rPr>
              <w:t>Kompetenzseminar zum Klimawandel</w:t>
            </w:r>
            <w:r>
              <w:rPr>
                <w:b/>
                <w:color w:val="000000"/>
                <w:sz w:val="18"/>
                <w:szCs w:val="18"/>
              </w:rPr>
              <w:t xml:space="preserve"> (Geo-Klimawandel)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C10A" w14:textId="1302049A" w:rsidR="002F1826" w:rsidRPr="002B4596" w:rsidRDefault="002F1826" w:rsidP="00484D9C">
            <w:pPr>
              <w:spacing w:after="0" w:line="240" w:lineRule="auto"/>
              <w:ind w:left="80" w:right="0" w:firstLine="0"/>
              <w:jc w:val="left"/>
              <w:rPr>
                <w:color w:val="auto"/>
                <w:sz w:val="18"/>
                <w:szCs w:val="18"/>
              </w:rPr>
            </w:pPr>
            <w:r w:rsidRPr="002B4596">
              <w:rPr>
                <w:color w:val="auto"/>
                <w:sz w:val="18"/>
                <w:szCs w:val="18"/>
              </w:rPr>
              <w:t>Kompetenzseminar zum Klimawandel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4BC3" w14:textId="77777777" w:rsidR="002F1826" w:rsidRPr="00144983" w:rsidRDefault="002F1826" w:rsidP="00484D9C">
            <w:pPr>
              <w:spacing w:after="0" w:line="240" w:lineRule="auto"/>
              <w:ind w:left="3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5B58" w14:textId="77777777" w:rsidR="002F1826" w:rsidRPr="00144983" w:rsidRDefault="002F1826" w:rsidP="00484D9C">
            <w:pPr>
              <w:spacing w:after="0" w:line="240" w:lineRule="auto"/>
              <w:ind w:left="2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2133" w14:textId="77777777" w:rsidR="002F1826" w:rsidRPr="00144983" w:rsidRDefault="002F1826" w:rsidP="00484D9C">
            <w:pPr>
              <w:spacing w:after="0" w:line="240" w:lineRule="auto"/>
              <w:ind w:left="28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8062" w14:textId="4F7746CF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2E27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866E" w14:textId="77777777" w:rsidR="002F1826" w:rsidRPr="00144983" w:rsidRDefault="002F1826" w:rsidP="00484D9C">
            <w:pPr>
              <w:spacing w:after="0" w:line="240" w:lineRule="auto"/>
              <w:ind w:left="2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F1E4" w14:textId="77777777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9624" w14:textId="3D52F714" w:rsidR="002F1826" w:rsidRPr="00144983" w:rsidRDefault="002F1826" w:rsidP="002B4596">
            <w:pPr>
              <w:spacing w:after="0" w:line="240" w:lineRule="auto"/>
              <w:ind w:left="82" w:right="570" w:firstLine="0"/>
              <w:jc w:val="left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SeL (Projektpräsentation 10 Minuten) </w:t>
            </w:r>
          </w:p>
        </w:tc>
      </w:tr>
      <w:tr w:rsidR="002F1826" w:rsidRPr="00144983" w14:paraId="5F567539" w14:textId="77777777" w:rsidTr="002F1826">
        <w:trPr>
          <w:trHeight w:val="217"/>
        </w:trPr>
        <w:tc>
          <w:tcPr>
            <w:tcW w:w="67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265AFC3E" w14:textId="77777777" w:rsidR="002F1826" w:rsidRPr="00144983" w:rsidRDefault="002F1826" w:rsidP="00484D9C">
            <w:pPr>
              <w:spacing w:after="0" w:line="240" w:lineRule="auto"/>
              <w:ind w:left="80" w:right="0" w:firstLine="0"/>
              <w:jc w:val="left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 xml:space="preserve">Summe SWS und ECTS-Punkte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0B8B9FCF" w14:textId="77777777" w:rsidR="002F1826" w:rsidRPr="00144983" w:rsidRDefault="002F1826" w:rsidP="00484D9C">
            <w:pPr>
              <w:spacing w:after="0" w:line="240" w:lineRule="auto"/>
              <w:ind w:left="0" w:right="21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067E6E0B" w14:textId="4A8101C5" w:rsidR="002F1826" w:rsidRPr="00144983" w:rsidRDefault="002F1826" w:rsidP="00484D9C">
            <w:pPr>
              <w:spacing w:after="0" w:line="240" w:lineRule="auto"/>
              <w:ind w:left="0" w:right="24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3B50450F" w14:textId="77777777" w:rsidR="002F1826" w:rsidRPr="00144983" w:rsidRDefault="002F1826" w:rsidP="00484D9C">
            <w:pPr>
              <w:spacing w:after="0" w:line="240" w:lineRule="auto"/>
              <w:ind w:left="0" w:right="23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1176189C" w14:textId="522DAD45" w:rsidR="002F1826" w:rsidRPr="00144983" w:rsidRDefault="002F1826" w:rsidP="00484D9C">
            <w:pPr>
              <w:spacing w:after="0" w:line="240" w:lineRule="auto"/>
              <w:ind w:left="0" w:right="20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6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7A9AC913" w14:textId="37F482C8" w:rsidR="002F1826" w:rsidRPr="00144983" w:rsidRDefault="002F1826" w:rsidP="00484D9C">
            <w:pPr>
              <w:spacing w:after="0" w:line="240" w:lineRule="auto"/>
              <w:ind w:left="0" w:right="22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1F20C4C8" w14:textId="77777777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4729EF44" w14:textId="77777777" w:rsidR="002F1826" w:rsidRPr="00144983" w:rsidRDefault="002F1826" w:rsidP="00484D9C">
            <w:pPr>
              <w:spacing w:after="0" w:line="240" w:lineRule="auto"/>
              <w:ind w:left="0" w:right="20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00AF50"/>
            <w:vAlign w:val="center"/>
          </w:tcPr>
          <w:p w14:paraId="284FB1FD" w14:textId="77777777" w:rsidR="002F1826" w:rsidRPr="00144983" w:rsidRDefault="002F1826" w:rsidP="00484D9C">
            <w:pPr>
              <w:spacing w:after="0" w:line="240" w:lineRule="auto"/>
              <w:ind w:left="1289" w:right="0" w:firstLine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 </w:t>
            </w:r>
          </w:p>
          <w:p w14:paraId="2ECCEFE7" w14:textId="146C0583" w:rsidR="002F1826" w:rsidRPr="00144983" w:rsidRDefault="002F1826" w:rsidP="00484D9C">
            <w:pPr>
              <w:spacing w:after="0" w:line="240" w:lineRule="auto"/>
              <w:ind w:left="1289" w:right="0"/>
              <w:jc w:val="center"/>
              <w:rPr>
                <w:sz w:val="18"/>
                <w:szCs w:val="18"/>
              </w:rPr>
            </w:pPr>
            <w:r w:rsidRPr="0014498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F1826" w:rsidRPr="00144983" w14:paraId="174B47FB" w14:textId="77777777" w:rsidTr="002F1826">
        <w:trPr>
          <w:trHeight w:val="215"/>
        </w:trPr>
        <w:tc>
          <w:tcPr>
            <w:tcW w:w="67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E8FF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19863796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4D0F2AC4" w14:textId="3D5D0D94" w:rsidR="002F1826" w:rsidRPr="00144983" w:rsidRDefault="002F1826" w:rsidP="00484D9C">
            <w:pPr>
              <w:spacing w:after="0" w:line="240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144983">
              <w:rPr>
                <w:b/>
                <w:color w:val="FFFFFF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59E880A9" w14:textId="77777777" w:rsidR="002F1826" w:rsidRPr="00144983" w:rsidRDefault="002F1826" w:rsidP="00484D9C">
            <w:pPr>
              <w:spacing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479CBCF8" w14:textId="7EF27EB9" w:rsidR="002F1826" w:rsidRPr="00144983" w:rsidRDefault="002F1826" w:rsidP="00484D9C">
            <w:pPr>
              <w:spacing w:after="0" w:line="240" w:lineRule="auto"/>
              <w:ind w:left="0" w:right="2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630A4D4F" w14:textId="77777777" w:rsidR="002F1826" w:rsidRPr="00144983" w:rsidRDefault="002F1826" w:rsidP="00484D9C">
            <w:pPr>
              <w:spacing w:after="0" w:line="240" w:lineRule="auto"/>
              <w:ind w:left="29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  <w:vAlign w:val="center"/>
          </w:tcPr>
          <w:p w14:paraId="1D44BA06" w14:textId="77777777" w:rsidR="002F1826" w:rsidRPr="00144983" w:rsidRDefault="002F1826" w:rsidP="00484D9C">
            <w:pPr>
              <w:spacing w:after="0" w:line="240" w:lineRule="auto"/>
              <w:ind w:left="26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AF50"/>
            <w:vAlign w:val="center"/>
          </w:tcPr>
          <w:p w14:paraId="70A1485A" w14:textId="0F401419" w:rsidR="002F1826" w:rsidRPr="00144983" w:rsidRDefault="002F1826" w:rsidP="00484D9C">
            <w:pPr>
              <w:spacing w:after="0" w:line="240" w:lineRule="auto"/>
              <w:ind w:left="1289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3E15337D" w14:textId="77777777" w:rsidR="00A7400C" w:rsidRDefault="00A7400C" w:rsidP="00A7400C">
      <w:pPr>
        <w:spacing w:after="0" w:line="240" w:lineRule="auto"/>
        <w:ind w:left="0" w:right="7074" w:firstLine="0"/>
        <w:jc w:val="center"/>
      </w:pPr>
    </w:p>
    <w:p w14:paraId="0B7E1EBF" w14:textId="77777777" w:rsidR="00380F85" w:rsidRDefault="00380F85" w:rsidP="00BB5A73">
      <w:pPr>
        <w:spacing w:after="0" w:line="240" w:lineRule="auto"/>
        <w:ind w:left="0" w:right="0" w:firstLine="0"/>
      </w:pPr>
    </w:p>
    <w:sectPr w:rsidR="00380F85" w:rsidSect="0070710E">
      <w:footerReference w:type="even" r:id="rId11"/>
      <w:footerReference w:type="default" r:id="rId12"/>
      <w:footerReference w:type="first" r:id="rId13"/>
      <w:pgSz w:w="16838" w:h="11906" w:orient="landscape"/>
      <w:pgMar w:top="1417" w:right="1417" w:bottom="1417" w:left="1134" w:header="72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A460B" w14:textId="77777777" w:rsidR="00B0260F" w:rsidRDefault="00B0260F">
      <w:pPr>
        <w:spacing w:after="0" w:line="240" w:lineRule="auto"/>
      </w:pPr>
      <w:r>
        <w:separator/>
      </w:r>
    </w:p>
  </w:endnote>
  <w:endnote w:type="continuationSeparator" w:id="0">
    <w:p w14:paraId="05FF059E" w14:textId="77777777" w:rsidR="00B0260F" w:rsidRDefault="00B0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7365" w14:textId="77777777" w:rsidR="00380F85" w:rsidRDefault="00F269C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861" w14:textId="36A8B4D0" w:rsidR="00FD2ED5" w:rsidRPr="00FD2ED5" w:rsidRDefault="00FD2ED5">
    <w:pPr>
      <w:pStyle w:val="Fuzeile"/>
      <w:rPr>
        <w:sz w:val="20"/>
        <w:szCs w:val="20"/>
      </w:rPr>
    </w:pPr>
    <w:r>
      <w:ptab w:relativeTo="margin" w:alignment="center" w:leader="none"/>
    </w:r>
    <w:r w:rsidRPr="00FD2ED5">
      <w:rPr>
        <w:sz w:val="20"/>
        <w:szCs w:val="20"/>
      </w:rPr>
      <w:fldChar w:fldCharType="begin"/>
    </w:r>
    <w:r w:rsidRPr="00FD2ED5">
      <w:rPr>
        <w:sz w:val="20"/>
        <w:szCs w:val="20"/>
      </w:rPr>
      <w:instrText xml:space="preserve"> PAGE  \* Arabic  \* MERGEFORMAT </w:instrText>
    </w:r>
    <w:r w:rsidRPr="00FD2ED5">
      <w:rPr>
        <w:sz w:val="20"/>
        <w:szCs w:val="20"/>
      </w:rPr>
      <w:fldChar w:fldCharType="separate"/>
    </w:r>
    <w:r w:rsidR="002F1826">
      <w:rPr>
        <w:noProof/>
        <w:sz w:val="20"/>
        <w:szCs w:val="20"/>
      </w:rPr>
      <w:t>3</w:t>
    </w:r>
    <w:r w:rsidRPr="00FD2ED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3415" w14:textId="77777777" w:rsidR="00380F85" w:rsidRDefault="00F269CF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AD62" w14:textId="77777777" w:rsidR="00380F85" w:rsidRDefault="00380F8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E6E8C" w14:textId="77777777" w:rsidR="00380F85" w:rsidRPr="00991557" w:rsidRDefault="00991557" w:rsidP="00991557">
    <w:pPr>
      <w:pStyle w:val="Fuzeile"/>
      <w:rPr>
        <w:sz w:val="20"/>
        <w:szCs w:val="20"/>
      </w:rPr>
    </w:pPr>
    <w:r w:rsidRPr="00991557">
      <w:rPr>
        <w:sz w:val="20"/>
        <w:szCs w:val="20"/>
      </w:rPr>
      <w:ptab w:relativeTo="margin" w:alignment="center" w:leader="none"/>
    </w:r>
    <w:r w:rsidRPr="00991557">
      <w:rPr>
        <w:sz w:val="20"/>
        <w:szCs w:val="20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2F73D" w14:textId="77777777" w:rsidR="00380F85" w:rsidRDefault="00380F8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9562" w14:textId="77777777" w:rsidR="00B0260F" w:rsidRDefault="00B0260F">
      <w:pPr>
        <w:spacing w:after="0" w:line="240" w:lineRule="auto"/>
      </w:pPr>
      <w:r>
        <w:separator/>
      </w:r>
    </w:p>
  </w:footnote>
  <w:footnote w:type="continuationSeparator" w:id="0">
    <w:p w14:paraId="6F648E1A" w14:textId="77777777" w:rsidR="00B0260F" w:rsidRDefault="00B02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23F"/>
    <w:multiLevelType w:val="hybridMultilevel"/>
    <w:tmpl w:val="EF4AA3A0"/>
    <w:lvl w:ilvl="0" w:tplc="B6D81FFC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8E4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8BD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444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C49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49B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61D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BEDC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4B7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BB67BC"/>
    <w:multiLevelType w:val="hybridMultilevel"/>
    <w:tmpl w:val="ACB64A1C"/>
    <w:lvl w:ilvl="0" w:tplc="60F86DCA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089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3A7D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73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8E9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0D3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2BF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29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C4E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E60F6B"/>
    <w:multiLevelType w:val="hybridMultilevel"/>
    <w:tmpl w:val="58DA0B08"/>
    <w:lvl w:ilvl="0" w:tplc="7C52D646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0D1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2BA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46D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2CB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21C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A70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84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2E0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E5A8C"/>
    <w:multiLevelType w:val="hybridMultilevel"/>
    <w:tmpl w:val="0FEAE8A4"/>
    <w:lvl w:ilvl="0" w:tplc="601207A6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840F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A52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F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5014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F6CA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60A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05C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48B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710D4"/>
    <w:multiLevelType w:val="hybridMultilevel"/>
    <w:tmpl w:val="ABA44546"/>
    <w:lvl w:ilvl="0" w:tplc="E3FE1642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AB7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A7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44F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436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8C0D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4A8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054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A89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3D22D8"/>
    <w:multiLevelType w:val="hybridMultilevel"/>
    <w:tmpl w:val="E2F68624"/>
    <w:lvl w:ilvl="0" w:tplc="0407000F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85"/>
    <w:rsid w:val="000F756C"/>
    <w:rsid w:val="001A2187"/>
    <w:rsid w:val="002A6E19"/>
    <w:rsid w:val="002B4596"/>
    <w:rsid w:val="002D573A"/>
    <w:rsid w:val="002F1826"/>
    <w:rsid w:val="00342344"/>
    <w:rsid w:val="00354FD1"/>
    <w:rsid w:val="00380F85"/>
    <w:rsid w:val="003B7728"/>
    <w:rsid w:val="003E7A61"/>
    <w:rsid w:val="00444ABC"/>
    <w:rsid w:val="004450D6"/>
    <w:rsid w:val="00472894"/>
    <w:rsid w:val="004806C3"/>
    <w:rsid w:val="0051307B"/>
    <w:rsid w:val="0058775F"/>
    <w:rsid w:val="00652982"/>
    <w:rsid w:val="0070710E"/>
    <w:rsid w:val="00815F33"/>
    <w:rsid w:val="00887960"/>
    <w:rsid w:val="008906DD"/>
    <w:rsid w:val="00991557"/>
    <w:rsid w:val="00A7400C"/>
    <w:rsid w:val="00A95B94"/>
    <w:rsid w:val="00A9624A"/>
    <w:rsid w:val="00B0260F"/>
    <w:rsid w:val="00BB554A"/>
    <w:rsid w:val="00BB5A73"/>
    <w:rsid w:val="00BD0EF6"/>
    <w:rsid w:val="00C27B66"/>
    <w:rsid w:val="00CF70FF"/>
    <w:rsid w:val="00D7273E"/>
    <w:rsid w:val="00E23A58"/>
    <w:rsid w:val="00E8182D"/>
    <w:rsid w:val="00ED2994"/>
    <w:rsid w:val="00EE614E"/>
    <w:rsid w:val="00F269CF"/>
    <w:rsid w:val="00F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DFB62"/>
  <w15:docId w15:val="{8C38FF85-96CA-4787-8DDC-BA523232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52" w:lineRule="auto"/>
      <w:ind w:left="10" w:right="4" w:hanging="10"/>
      <w:jc w:val="both"/>
    </w:pPr>
    <w:rPr>
      <w:rFonts w:ascii="Arial" w:eastAsia="Arial" w:hAnsi="Arial" w:cs="Arial"/>
      <w:color w:val="000009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"/>
      <w:ind w:left="10" w:right="3" w:hanging="10"/>
      <w:jc w:val="center"/>
      <w:outlineLvl w:val="0"/>
    </w:pPr>
    <w:rPr>
      <w:rFonts w:ascii="Arial" w:eastAsia="Arial" w:hAnsi="Arial" w:cs="Arial"/>
      <w:b/>
      <w:color w:val="000009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D727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7273E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D7273E"/>
    <w:pPr>
      <w:tabs>
        <w:tab w:val="right" w:leader="dot" w:pos="9067"/>
      </w:tabs>
      <w:spacing w:after="0" w:line="240" w:lineRule="auto"/>
      <w:ind w:left="0"/>
    </w:pPr>
  </w:style>
  <w:style w:type="character" w:styleId="Hyperlink">
    <w:name w:val="Hyperlink"/>
    <w:basedOn w:val="Absatz-Standardschriftart"/>
    <w:uiPriority w:val="99"/>
    <w:unhideWhenUsed/>
    <w:rsid w:val="00D7273E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2ED5"/>
    <w:rPr>
      <w:rFonts w:ascii="Arial" w:eastAsia="Arial" w:hAnsi="Arial" w:cs="Arial"/>
      <w:color w:val="000009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D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2ED5"/>
    <w:rPr>
      <w:rFonts w:ascii="Arial" w:eastAsia="Arial" w:hAnsi="Arial" w:cs="Arial"/>
      <w:color w:val="000009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06D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906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906DD"/>
    <w:rPr>
      <w:rFonts w:ascii="Arial" w:eastAsia="Arial" w:hAnsi="Arial" w:cs="Arial"/>
      <w:color w:val="000009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06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06DD"/>
    <w:rPr>
      <w:rFonts w:ascii="Arial" w:eastAsia="Arial" w:hAnsi="Arial" w:cs="Arial"/>
      <w:b/>
      <w:bCs/>
      <w:color w:val="000009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6DD"/>
    <w:rPr>
      <w:rFonts w:ascii="Segoe UI" w:eastAsia="Arial" w:hAnsi="Segoe UI" w:cs="Segoe UI"/>
      <w:color w:val="00000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E587-4113-48AF-9F94-F2F7807D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yl22uhec</dc:creator>
  <cp:keywords/>
  <cp:lastModifiedBy>Bergmann, Silke (ZUV)</cp:lastModifiedBy>
  <cp:revision>3</cp:revision>
  <dcterms:created xsi:type="dcterms:W3CDTF">2022-05-25T14:19:00Z</dcterms:created>
  <dcterms:modified xsi:type="dcterms:W3CDTF">2022-05-25T14:20:00Z</dcterms:modified>
</cp:coreProperties>
</file>